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MRI EVALUATION OF LEFT VENTRICULAR FUNCTION POST CORONARY OCCLUSION/REPERFUSION AND EMBOLIZATION IN SWINE MODEL </w:t>
      </w:r>
    </w:p>
    <w:p w:rsidR="00B921ED" w:rsidRDefault="001E789A">
      <w:pPr>
        <w:widowControl w:val="0"/>
        <w:autoSpaceDE w:val="0"/>
        <w:autoSpaceDN w:val="0"/>
        <w:adjustRightInd w:val="0"/>
      </w:pPr>
      <w:r w:rsidRPr="001E789A">
        <w:rPr>
          <w:b/>
          <w:bCs/>
          <w:u w:val="single"/>
        </w:rPr>
        <w:t xml:space="preserve">M. </w:t>
      </w:r>
      <w:proofErr w:type="spellStart"/>
      <w:r w:rsidRPr="001E789A">
        <w:rPr>
          <w:b/>
          <w:bCs/>
          <w:u w:val="single"/>
        </w:rPr>
        <w:t>Saeed</w:t>
      </w:r>
      <w:proofErr w:type="spellEnd"/>
      <w:r w:rsidR="00B921ED">
        <w:t>, S</w:t>
      </w:r>
      <w:r>
        <w:t>.</w:t>
      </w:r>
      <w:r w:rsidR="00B921ED">
        <w:t>W</w:t>
      </w:r>
      <w:r>
        <w:t>.</w:t>
      </w:r>
      <w:r w:rsidR="00B921ED">
        <w:t xml:space="preserve"> </w:t>
      </w:r>
      <w:proofErr w:type="spellStart"/>
      <w:r w:rsidR="00B921ED">
        <w:t>Hetts</w:t>
      </w:r>
      <w:proofErr w:type="spellEnd"/>
      <w:r w:rsidR="00B921ED">
        <w:t>, L</w:t>
      </w:r>
      <w:r>
        <w:t>.</w:t>
      </w:r>
      <w:r w:rsidR="00B921ED">
        <w:t xml:space="preserve"> Do, S</w:t>
      </w:r>
      <w:r>
        <w:t>.</w:t>
      </w:r>
      <w:r w:rsidR="00B921ED">
        <w:t>M</w:t>
      </w:r>
      <w:r>
        <w:t>.</w:t>
      </w:r>
      <w:r w:rsidR="00B921ED">
        <w:t xml:space="preserve"> Sullivan, M</w:t>
      </w:r>
      <w:r>
        <w:t>.</w:t>
      </w:r>
      <w:r w:rsidR="00B921ED">
        <w:t>W</w:t>
      </w:r>
      <w:r>
        <w:t>.</w:t>
      </w:r>
      <w:r w:rsidR="00B921ED">
        <w:t xml:space="preserve"> Wilson</w:t>
      </w:r>
    </w:p>
    <w:p w:rsidR="008016C0" w:rsidRDefault="00B921ED" w:rsidP="001E789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Dep</w:t>
      </w:r>
      <w:r w:rsidR="001E789A">
        <w:rPr>
          <w:color w:val="000000"/>
        </w:rPr>
        <w:t>t.</w:t>
      </w:r>
      <w:r>
        <w:rPr>
          <w:color w:val="000000"/>
        </w:rPr>
        <w:t xml:space="preserve"> of Radiology and Biomedical Imaging, University of California San Francisco</w:t>
      </w:r>
      <w:r w:rsidR="001E789A">
        <w:rPr>
          <w:color w:val="000000"/>
        </w:rPr>
        <w:t xml:space="preserve">, </w:t>
      </w:r>
    </w:p>
    <w:p w:rsidR="00B921ED" w:rsidRDefault="008016C0" w:rsidP="001E789A">
      <w:pPr>
        <w:widowControl w:val="0"/>
        <w:autoSpaceDE w:val="0"/>
        <w:autoSpaceDN w:val="0"/>
        <w:adjustRightInd w:val="0"/>
        <w:rPr>
          <w:color w:val="503820"/>
        </w:rPr>
      </w:pPr>
      <w:bookmarkStart w:id="0" w:name="_GoBack"/>
      <w:bookmarkEnd w:id="0"/>
      <w:r>
        <w:rPr>
          <w:color w:val="000000"/>
        </w:rPr>
        <w:t xml:space="preserve">CA, </w:t>
      </w:r>
      <w:r w:rsidR="001E789A">
        <w:rPr>
          <w:color w:val="000000"/>
        </w:rPr>
        <w:t>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D16E14" w:rsidRDefault="00B921ED">
      <w:pPr>
        <w:widowControl w:val="0"/>
        <w:autoSpaceDE w:val="0"/>
        <w:autoSpaceDN w:val="0"/>
        <w:adjustRightInd w:val="0"/>
        <w:jc w:val="both"/>
      </w:pPr>
      <w:r>
        <w:t>Objective: To characterize and compare the deleterious effects of major coronary artery occlusion/reperfusion and micro-vessel occlusion on left ventricular (LV) function using MRI.</w:t>
      </w:r>
    </w:p>
    <w:p w:rsidR="00D16E14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</w:t>
      </w:r>
      <w:proofErr w:type="spellStart"/>
      <w:r>
        <w:t>Microembolization</w:t>
      </w:r>
      <w:proofErr w:type="spellEnd"/>
      <w:r>
        <w:t xml:space="preserve"> effects on LV function has been under</w:t>
      </w:r>
      <w:r w:rsidR="00D16E14">
        <w:t xml:space="preserve">-estimated and under-diagnosed </w:t>
      </w:r>
      <w:r>
        <w:t xml:space="preserve">because: </w:t>
      </w:r>
    </w:p>
    <w:p w:rsidR="00D16E14" w:rsidRDefault="00B921ED">
      <w:pPr>
        <w:widowControl w:val="0"/>
        <w:autoSpaceDE w:val="0"/>
        <w:autoSpaceDN w:val="0"/>
        <w:adjustRightInd w:val="0"/>
        <w:jc w:val="both"/>
      </w:pPr>
      <w:r>
        <w:t xml:space="preserve">1) </w:t>
      </w:r>
      <w:proofErr w:type="gramStart"/>
      <w:r>
        <w:t>the</w:t>
      </w:r>
      <w:proofErr w:type="gramEnd"/>
      <w:r>
        <w:t xml:space="preserve"> pathology is invisible, </w:t>
      </w:r>
    </w:p>
    <w:p w:rsidR="00D16E14" w:rsidRDefault="00B921ED">
      <w:pPr>
        <w:widowControl w:val="0"/>
        <w:autoSpaceDE w:val="0"/>
        <w:autoSpaceDN w:val="0"/>
        <w:adjustRightInd w:val="0"/>
        <w:jc w:val="both"/>
      </w:pPr>
      <w:r>
        <w:t xml:space="preserve">2) </w:t>
      </w:r>
      <w:proofErr w:type="gramStart"/>
      <w:r>
        <w:t>volume</w:t>
      </w:r>
      <w:proofErr w:type="gramEnd"/>
      <w:r>
        <w:t xml:space="preserve"> of </w:t>
      </w:r>
      <w:proofErr w:type="spellStart"/>
      <w:r>
        <w:t>microemboli</w:t>
      </w:r>
      <w:proofErr w:type="spellEnd"/>
      <w:r>
        <w:t xml:space="preserve"> is </w:t>
      </w:r>
      <w:r w:rsidR="00D16E14">
        <w:t xml:space="preserve">unknown in patients post PCI </w:t>
      </w:r>
      <w:r>
        <w:t xml:space="preserve"> </w:t>
      </w:r>
    </w:p>
    <w:p w:rsidR="00D16E14" w:rsidRDefault="00B921ED">
      <w:pPr>
        <w:widowControl w:val="0"/>
        <w:autoSpaceDE w:val="0"/>
        <w:autoSpaceDN w:val="0"/>
        <w:adjustRightInd w:val="0"/>
        <w:jc w:val="both"/>
      </w:pPr>
      <w:r>
        <w:t xml:space="preserve">3) </w:t>
      </w:r>
      <w:proofErr w:type="gramStart"/>
      <w:r>
        <w:t>biopsy</w:t>
      </w:r>
      <w:proofErr w:type="gramEnd"/>
      <w:r>
        <w:t xml:space="preserve"> was not an option.</w:t>
      </w:r>
    </w:p>
    <w:p w:rsidR="00D16E14" w:rsidRDefault="00B921ED">
      <w:pPr>
        <w:widowControl w:val="0"/>
        <w:autoSpaceDE w:val="0"/>
        <w:autoSpaceDN w:val="0"/>
        <w:adjustRightInd w:val="0"/>
        <w:jc w:val="both"/>
      </w:pPr>
      <w:r>
        <w:t>Methods: Pigs (24) were divided equally into 3 groups and su</w:t>
      </w:r>
      <w:r w:rsidR="00D16E14">
        <w:t>bjected to: no-infarct (control</w:t>
      </w:r>
      <w:r>
        <w:t xml:space="preserve">), 90min of the LAD occlusion/reperfusion or delivery of known volume and sizes of </w:t>
      </w:r>
      <w:proofErr w:type="spellStart"/>
      <w:r>
        <w:t>microemboli</w:t>
      </w:r>
      <w:proofErr w:type="spellEnd"/>
      <w:r>
        <w:t xml:space="preserve"> (16cubic-mm, 40-120micron) into the LAD using X-ray guidance. At 3 days after intervention, cine and viability MRI were acquired to measure LV volumes, ejection fraction, radial strain and large homogeneous and heterogeneous myocardial infarcts, respectively. A semi-automatic threshold method was used to measure infarcts.</w:t>
      </w:r>
    </w:p>
    <w:p w:rsidR="00755891" w:rsidRDefault="00B921ED">
      <w:pPr>
        <w:widowControl w:val="0"/>
        <w:autoSpaceDE w:val="0"/>
        <w:autoSpaceDN w:val="0"/>
        <w:adjustRightInd w:val="0"/>
        <w:jc w:val="both"/>
      </w:pPr>
      <w:r>
        <w:t>Results</w:t>
      </w:r>
      <w:r w:rsidR="00D16E14">
        <w:t xml:space="preserve">: </w:t>
      </w:r>
      <w:r>
        <w:t xml:space="preserve">There was significant difference in radial strain in the LAD territory of control animals (40±6%) and large homogeneous infarct (-1±1%) and </w:t>
      </w:r>
      <w:proofErr w:type="spellStart"/>
      <w:r>
        <w:t>microinfarct</w:t>
      </w:r>
      <w:proofErr w:type="spellEnd"/>
      <w:r>
        <w:t xml:space="preserve"> (-2±1%). The table summarizes the effects of the interventions on global LV function compared with controls. LAD occlusion/reperfusion and micro-vessel occlusion produced significantly different infarct sizes (17±1% vs. 6.2±0.6% LV mass), but not on ejection fraction, suggesting different mechanisms govern LV dysfunction.                 </w:t>
      </w:r>
    </w:p>
    <w:p w:rsidR="00755891" w:rsidRDefault="00755891" w:rsidP="00755891">
      <w:pPr>
        <w:widowControl w:val="0"/>
        <w:autoSpaceDE w:val="0"/>
        <w:autoSpaceDN w:val="0"/>
        <w:adjustRightInd w:val="0"/>
        <w:ind w:left="720" w:firstLine="720"/>
        <w:jc w:val="both"/>
      </w:pPr>
      <w:proofErr w:type="gramStart"/>
      <w:r>
        <w:t>EDV(</w:t>
      </w:r>
      <w:proofErr w:type="gramEnd"/>
      <w:r>
        <w:t>ml)</w:t>
      </w:r>
      <w:r>
        <w:tab/>
      </w:r>
      <w:r>
        <w:tab/>
        <w:t>ESV(ml)</w:t>
      </w:r>
      <w:r>
        <w:tab/>
      </w:r>
      <w:r>
        <w:tab/>
      </w:r>
      <w:r w:rsidR="00B921ED">
        <w:t>Ejection fraction(%)</w:t>
      </w:r>
    </w:p>
    <w:p w:rsidR="00755891" w:rsidRDefault="00755891">
      <w:pPr>
        <w:widowControl w:val="0"/>
        <w:autoSpaceDE w:val="0"/>
        <w:autoSpaceDN w:val="0"/>
        <w:adjustRightInd w:val="0"/>
        <w:jc w:val="both"/>
      </w:pPr>
      <w:r>
        <w:t>Control</w:t>
      </w:r>
      <w:r>
        <w:tab/>
        <w:t>77±3</w:t>
      </w:r>
      <w:r>
        <w:tab/>
      </w:r>
      <w:r>
        <w:tab/>
      </w:r>
      <w:r>
        <w:tab/>
      </w:r>
      <w:r w:rsidR="00B921ED">
        <w:t>35±2</w:t>
      </w:r>
      <w:r w:rsidR="00B921ED">
        <w:tab/>
      </w:r>
      <w:r w:rsidR="00B921ED">
        <w:tab/>
      </w:r>
      <w:r>
        <w:tab/>
      </w:r>
      <w:r w:rsidR="00B921ED">
        <w:t>52±1</w:t>
      </w:r>
    </w:p>
    <w:p w:rsidR="00755891" w:rsidRDefault="00B921ED">
      <w:pPr>
        <w:widowControl w:val="0"/>
        <w:autoSpaceDE w:val="0"/>
        <w:autoSpaceDN w:val="0"/>
        <w:adjustRightInd w:val="0"/>
        <w:jc w:val="both"/>
      </w:pPr>
      <w:r>
        <w:t>Large infarct</w:t>
      </w:r>
      <w:r>
        <w:tab/>
        <w:t>75±2</w:t>
      </w:r>
      <w:r>
        <w:tab/>
      </w:r>
      <w:r>
        <w:tab/>
      </w:r>
      <w:r>
        <w:tab/>
        <w:t>44±1*</w:t>
      </w:r>
      <w:r>
        <w:tab/>
      </w:r>
      <w:r>
        <w:tab/>
      </w:r>
      <w:r>
        <w:tab/>
        <w:t>41±1+</w:t>
      </w:r>
    </w:p>
    <w:p w:rsidR="00755891" w:rsidRDefault="00B921ED">
      <w:pPr>
        <w:widowControl w:val="0"/>
        <w:autoSpaceDE w:val="0"/>
        <w:autoSpaceDN w:val="0"/>
        <w:adjustRightInd w:val="0"/>
        <w:jc w:val="both"/>
      </w:pPr>
      <w:proofErr w:type="spellStart"/>
      <w:r>
        <w:t>Microinfarct</w:t>
      </w:r>
      <w:proofErr w:type="spellEnd"/>
      <w:r>
        <w:tab/>
        <w:t>76±2</w:t>
      </w:r>
      <w:r>
        <w:tab/>
      </w:r>
      <w:r>
        <w:tab/>
      </w:r>
      <w:r>
        <w:tab/>
        <w:t>47±1*</w:t>
      </w:r>
      <w:r>
        <w:tab/>
      </w:r>
      <w:r>
        <w:tab/>
      </w:r>
      <w:r>
        <w:tab/>
        <w:t>39±1+</w:t>
      </w:r>
    </w:p>
    <w:p w:rsidR="00D16E14" w:rsidRDefault="00B921ED">
      <w:pPr>
        <w:widowControl w:val="0"/>
        <w:autoSpaceDE w:val="0"/>
        <w:autoSpaceDN w:val="0"/>
        <w:adjustRightInd w:val="0"/>
        <w:jc w:val="both"/>
      </w:pPr>
      <w:r>
        <w:t>*P&lt;0.05, +P&lt;0.01</w:t>
      </w:r>
      <w:r>
        <w:tab/>
      </w:r>
      <w:r>
        <w:tab/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 MRI detects acute micro/</w:t>
      </w:r>
      <w:proofErr w:type="spellStart"/>
      <w:r>
        <w:t>macroinfarct</w:t>
      </w:r>
      <w:proofErr w:type="spellEnd"/>
      <w:r>
        <w:t xml:space="preserve"> and LV dysfunction. The effect of micro-vessel occlusion was disproportionally large compared with major coronary vessel occlusion/reperfusion, suggesting that infarct size is not the sole factor for acute LV dysfunction post-PCI.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9A" w:rsidRDefault="001E789A" w:rsidP="001E789A">
      <w:r>
        <w:separator/>
      </w:r>
    </w:p>
  </w:endnote>
  <w:endnote w:type="continuationSeparator" w:id="0">
    <w:p w:rsidR="001E789A" w:rsidRDefault="001E789A" w:rsidP="001E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9A" w:rsidRDefault="001E789A" w:rsidP="001E789A">
      <w:r>
        <w:separator/>
      </w:r>
    </w:p>
  </w:footnote>
  <w:footnote w:type="continuationSeparator" w:id="0">
    <w:p w:rsidR="001E789A" w:rsidRDefault="001E789A" w:rsidP="001E7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9A" w:rsidRDefault="001E789A" w:rsidP="001E789A">
    <w:pPr>
      <w:pStyle w:val="Header"/>
    </w:pPr>
    <w:r>
      <w:t>1065, oral or poster, cat: 15</w:t>
    </w:r>
  </w:p>
  <w:p w:rsidR="001E789A" w:rsidRDefault="001E7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E789A"/>
    <w:rsid w:val="00447B2F"/>
    <w:rsid w:val="00755891"/>
    <w:rsid w:val="008016C0"/>
    <w:rsid w:val="00B921ED"/>
    <w:rsid w:val="00D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8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8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8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8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8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8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8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8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4F5D33C7</Template>
  <TotalTime>15</TotalTime>
  <Pages>1</Pages>
  <Words>285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2012-02-14T08:01:00Z</cp:lastPrinted>
  <dcterms:created xsi:type="dcterms:W3CDTF">2012-02-14T08:09:00Z</dcterms:created>
  <dcterms:modified xsi:type="dcterms:W3CDTF">2012-02-14T08:37:00Z</dcterms:modified>
</cp:coreProperties>
</file>